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8A3A57" w:rsidRPr="00B44A0F" w14:paraId="07D32E7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DC22" w14:textId="64E5C224" w:rsidR="008A3A57" w:rsidRDefault="008A3A57" w:rsidP="00F830B4">
            <w:pPr>
              <w:pStyle w:val="bodyContent"/>
            </w:pPr>
            <w:r>
              <w:t>2/9/26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BD39" w14:textId="52D95BF8" w:rsidR="008A3A57" w:rsidRDefault="008A3A57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828D" w14:textId="77777777" w:rsidR="008A3A57" w:rsidRDefault="008A3A57" w:rsidP="00F32E71">
            <w:pPr>
              <w:pStyle w:val="bodyContent"/>
            </w:pPr>
            <w:r>
              <w:t>Updated information for the following counties:</w:t>
            </w:r>
          </w:p>
          <w:p w14:paraId="2404EF9F" w14:textId="77777777" w:rsidR="008A3A57" w:rsidRDefault="008A3A57" w:rsidP="008A3A57">
            <w:pPr>
              <w:pStyle w:val="ListBullet"/>
            </w:pPr>
            <w:r w:rsidRPr="008A3A57">
              <w:t>Benton</w:t>
            </w:r>
          </w:p>
          <w:p w14:paraId="2112FFF9" w14:textId="77777777" w:rsidR="008A3A57" w:rsidRDefault="008A3A57" w:rsidP="008A3A57">
            <w:pPr>
              <w:pStyle w:val="ListBullet"/>
            </w:pPr>
            <w:r w:rsidRPr="008A3A57">
              <w:t>Blue Earth</w:t>
            </w:r>
          </w:p>
          <w:p w14:paraId="5431E3B9" w14:textId="77777777" w:rsidR="008A3A57" w:rsidRDefault="008A3A57" w:rsidP="008A3A57">
            <w:pPr>
              <w:pStyle w:val="ListBullet"/>
            </w:pPr>
            <w:r w:rsidRPr="008A3A57">
              <w:t>Carlton</w:t>
            </w:r>
          </w:p>
          <w:p w14:paraId="45D8490B" w14:textId="77777777" w:rsidR="008A3A57" w:rsidRDefault="008A3A57" w:rsidP="008A3A57">
            <w:pPr>
              <w:pStyle w:val="ListBullet"/>
            </w:pPr>
            <w:r w:rsidRPr="008A3A57">
              <w:t>Chippewa</w:t>
            </w:r>
          </w:p>
          <w:p w14:paraId="4BAC99A0" w14:textId="44DE62B4" w:rsidR="008A3A57" w:rsidRDefault="008A3A57" w:rsidP="008A3A57">
            <w:pPr>
              <w:pStyle w:val="ListBullet"/>
            </w:pPr>
            <w:r>
              <w:t>Dodge/</w:t>
            </w:r>
            <w:proofErr w:type="spellStart"/>
            <w:r>
              <w:t>MnPrairie</w:t>
            </w:r>
            <w:proofErr w:type="spellEnd"/>
          </w:p>
          <w:p w14:paraId="4982CE7D" w14:textId="77777777" w:rsidR="008A3A57" w:rsidRDefault="008A3A57" w:rsidP="008A3A57">
            <w:pPr>
              <w:pStyle w:val="ListBullet"/>
            </w:pPr>
            <w:r w:rsidRPr="008A3A57">
              <w:t>Olmsted</w:t>
            </w:r>
          </w:p>
          <w:p w14:paraId="66616408" w14:textId="0B811A29" w:rsidR="003312AA" w:rsidRDefault="003312AA" w:rsidP="008A3A57">
            <w:pPr>
              <w:pStyle w:val="ListBullet"/>
            </w:pPr>
            <w:r>
              <w:t>Pennington</w:t>
            </w:r>
          </w:p>
          <w:p w14:paraId="1BB639C6" w14:textId="77777777" w:rsidR="008A3A57" w:rsidRDefault="008A3A57" w:rsidP="008A3A57">
            <w:pPr>
              <w:pStyle w:val="ListBullet"/>
            </w:pPr>
            <w:r>
              <w:t>Steele/</w:t>
            </w:r>
            <w:proofErr w:type="spellStart"/>
            <w:r>
              <w:t>MnPrairie</w:t>
            </w:r>
            <w:proofErr w:type="spellEnd"/>
          </w:p>
          <w:p w14:paraId="37490860" w14:textId="487CF3E6" w:rsidR="008A3A57" w:rsidRDefault="008A3A57" w:rsidP="008A3A57">
            <w:pPr>
              <w:pStyle w:val="ListBullet"/>
            </w:pPr>
            <w:r>
              <w:t>Waseca/</w:t>
            </w:r>
            <w:proofErr w:type="spellStart"/>
            <w:r>
              <w:t>MnPrairie</w:t>
            </w:r>
            <w:proofErr w:type="spellEnd"/>
          </w:p>
        </w:tc>
      </w:tr>
      <w:tr w:rsidR="00EE1B41" w:rsidRPr="00B44A0F" w14:paraId="674D40D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501" w14:textId="0A1395B6" w:rsidR="00EE1B41" w:rsidRDefault="00EE1B41" w:rsidP="00F830B4">
            <w:pPr>
              <w:pStyle w:val="bodyContent"/>
            </w:pPr>
            <w:r>
              <w:t>12/5/25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F40" w14:textId="5F19A2C2" w:rsidR="00EE1B41" w:rsidRDefault="00EE1B41" w:rsidP="00F830B4">
            <w:pPr>
              <w:pStyle w:val="bodyContent"/>
            </w:pPr>
            <w:hyperlink r:id="rId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25B5" w14:textId="0385BDBB" w:rsidR="00EE1B41" w:rsidRDefault="00EE1B41" w:rsidP="00F32E71">
            <w:pPr>
              <w:pStyle w:val="bodyContent"/>
            </w:pPr>
            <w:r>
              <w:t>Updated information for Stearns County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26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076C7B" w:rsidRPr="00B44A0F" w14:paraId="70017E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B17" w14:textId="79F69480" w:rsidR="00076C7B" w:rsidRDefault="00076C7B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C07" w14:textId="1AF935B6" w:rsidR="00076C7B" w:rsidRDefault="00076C7B" w:rsidP="00F830B4">
            <w:pPr>
              <w:pStyle w:val="bodyContent"/>
            </w:pPr>
            <w:hyperlink r:id="rId27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4A3" w14:textId="78DA5523" w:rsidR="00076C7B" w:rsidRDefault="00076C7B" w:rsidP="00F32E71">
            <w:pPr>
              <w:pStyle w:val="bodyContent"/>
            </w:pPr>
            <w:r>
              <w:t xml:space="preserve">Added a note and link to the new page, </w:t>
            </w:r>
            <w:hyperlink r:id="rId28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1EAF750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ACA" w14:textId="1F8DCF07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EE6" w14:textId="275E9C9F" w:rsidR="00C110DD" w:rsidRDefault="00C110DD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 xml:space="preserve">Quick reference guide on MAPCY and </w:t>
              </w:r>
              <w:r>
                <w:rPr>
                  <w:rStyle w:val="Hyperlink"/>
                </w:rPr>
                <w:t>CRS or FRS</w:t>
              </w:r>
              <w:r w:rsidRPr="00B14441">
                <w:rPr>
                  <w:rStyle w:val="Hyperlink"/>
                </w:rPr>
                <w:t xml:space="preserve">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D64" w14:textId="072B48AE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0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488B76D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819B" w14:textId="2CBA713A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0646" w14:textId="00E05B5C" w:rsidR="00C110DD" w:rsidRDefault="00C110DD" w:rsidP="00F830B4">
            <w:pPr>
              <w:pStyle w:val="bodyContent"/>
            </w:pPr>
            <w:hyperlink r:id="rId31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C16" w14:textId="2E02429C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2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50AB92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070" w14:textId="72E5F8ED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E84" w14:textId="566D5860" w:rsidR="00C110DD" w:rsidRDefault="00C110DD" w:rsidP="00F830B4">
            <w:pPr>
              <w:pStyle w:val="bodyContent"/>
            </w:pPr>
            <w:hyperlink r:id="rId3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206" w14:textId="4C61D98A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4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B21B5F" w:rsidRPr="00B44A0F" w14:paraId="76A6BB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529" w14:textId="10C185A0" w:rsidR="00B21B5F" w:rsidRDefault="00B21B5F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B6E" w14:textId="75652352" w:rsidR="00B21B5F" w:rsidRDefault="00B21B5F" w:rsidP="00F830B4">
            <w:pPr>
              <w:pStyle w:val="bodyContent"/>
            </w:pPr>
            <w:hyperlink r:id="rId3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404" w14:textId="54CCAE08" w:rsidR="00B21B5F" w:rsidRDefault="00B21B5F" w:rsidP="00F32E71">
            <w:pPr>
              <w:pStyle w:val="bodyContent"/>
            </w:pPr>
            <w:r>
              <w:t xml:space="preserve">Added a note and link to the new page, </w:t>
            </w:r>
            <w:hyperlink r:id="rId36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lastRenderedPageBreak/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41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lastRenderedPageBreak/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4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59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61" w:history="1">
              <w:r w:rsidRPr="00AC3491">
                <w:rPr>
                  <w:rStyle w:val="Hyperlink"/>
                </w:rPr>
                <w:t xml:space="preserve">Quick reference guide on transportation for </w:t>
              </w:r>
              <w:r w:rsidRPr="00AC3491">
                <w:rPr>
                  <w:rStyle w:val="Hyperlink"/>
                </w:rPr>
                <w:lastRenderedPageBreak/>
                <w:t>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lastRenderedPageBreak/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67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70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7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lastRenderedPageBreak/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76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77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78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81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85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87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lastRenderedPageBreak/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lastRenderedPageBreak/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lastRenderedPageBreak/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4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lastRenderedPageBreak/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27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30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39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lastRenderedPageBreak/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lastRenderedPageBreak/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5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8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9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0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1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2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6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67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8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9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76C7B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2AA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331E"/>
    <w:rsid w:val="00627CB7"/>
    <w:rsid w:val="0065131D"/>
    <w:rsid w:val="00653209"/>
    <w:rsid w:val="00653EBA"/>
    <w:rsid w:val="006619AF"/>
    <w:rsid w:val="00664769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A3A57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7279B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21B5F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10DD"/>
    <w:rsid w:val="00C15119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EE1B41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39044','')" TargetMode="External"/><Relationship Id="rId138" Type="http://schemas.openxmlformats.org/officeDocument/2006/relationships/hyperlink" Target="javascript:link('DHS-327996','')" TargetMode="External"/><Relationship Id="rId159" Type="http://schemas.openxmlformats.org/officeDocument/2006/relationships/hyperlink" Target="javascript:link('dhs16_182183','')" TargetMode="External"/><Relationship Id="rId170" Type="http://schemas.openxmlformats.org/officeDocument/2006/relationships/fontTable" Target="fontTable.xm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MNDHS-073233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16_182195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16_182184','')" TargetMode="External"/><Relationship Id="rId160" Type="http://schemas.openxmlformats.org/officeDocument/2006/relationships/hyperlink" Target="javascript:link('dhs16_182181','')" TargetMode="External"/><Relationship Id="rId22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9" Type="http://schemas.openxmlformats.org/officeDocument/2006/relationships/hyperlink" Target="https://mn.gov/dhs/partners-and-providers/news-initiatives-reports-workgroups/long-term-services-and-supports/waiver-reimagine/" TargetMode="External"/><Relationship Id="rId85" Type="http://schemas.openxmlformats.org/officeDocument/2006/relationships/hyperlink" Target="javascript:link('DHS-339124','')" TargetMode="External"/><Relationship Id="rId150" Type="http://schemas.openxmlformats.org/officeDocument/2006/relationships/hyperlink" Target="javascript:link('DHS-317288','')" TargetMode="External"/><Relationship Id="rId171" Type="http://schemas.openxmlformats.org/officeDocument/2006/relationships/theme" Target="theme/theme1.xml"/><Relationship Id="rId12" Type="http://schemas.openxmlformats.org/officeDocument/2006/relationships/hyperlink" Target="javascript:link('dhs16_180389','')" TargetMode="External"/><Relationship Id="rId33" Type="http://schemas.openxmlformats.org/officeDocument/2006/relationships/hyperlink" Target="javascript:link('DHS16_182196','')" TargetMode="External"/><Relationship Id="rId108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29086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96','')" TargetMode="External"/><Relationship Id="rId75" Type="http://schemas.openxmlformats.org/officeDocument/2006/relationships/hyperlink" Target="javascript:link('DHS16_182196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-317288','')" TargetMode="External"/><Relationship Id="rId161" Type="http://schemas.openxmlformats.org/officeDocument/2006/relationships/hyperlink" Target="javascript:link('DHS16_182184','')" TargetMode="External"/><Relationship Id="rId166" Type="http://schemas.openxmlformats.org/officeDocument/2006/relationships/hyperlink" Target="javascript:link('DHS16_18218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MNDHS-073233','')" TargetMode="External"/><Relationship Id="rId49" Type="http://schemas.openxmlformats.org/officeDocument/2006/relationships/hyperlink" Target="javascript:link('DHS16_182196','')" TargetMode="External"/><Relationship Id="rId114" Type="http://schemas.openxmlformats.org/officeDocument/2006/relationships/hyperlink" Target="javascript:link('DHS-327070','unit_breakdown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96','')" TargetMode="External"/><Relationship Id="rId86" Type="http://schemas.openxmlformats.org/officeDocument/2006/relationships/hyperlink" Target="javascript:link('dhs16_182184','')" TargetMode="External"/><Relationship Id="rId130" Type="http://schemas.openxmlformats.org/officeDocument/2006/relationships/hyperlink" Target="javascript:link('dhs16_182185','mapcy')" TargetMode="External"/><Relationship Id="rId135" Type="http://schemas.openxmlformats.org/officeDocument/2006/relationships/hyperlink" Target="javascript:link('dhs16_182186','')" TargetMode="External"/><Relationship Id="rId151" Type="http://schemas.openxmlformats.org/officeDocument/2006/relationships/hyperlink" Target="javascript:link('DHS-286852','')" TargetMode="External"/><Relationship Id="rId156" Type="http://schemas.openxmlformats.org/officeDocument/2006/relationships/hyperlink" Target="javascript:link('DHS-290868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MNDHS-073233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86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5','')" TargetMode="External"/><Relationship Id="rId125" Type="http://schemas.openxmlformats.org/officeDocument/2006/relationships/hyperlink" Target="javascript:link('DHS-286852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hyperlink" Target="javascript:link('DHS-317288','')" TargetMode="External"/><Relationship Id="rId167" Type="http://schemas.openxmlformats.org/officeDocument/2006/relationships/hyperlink" Target="javascript:link('DHS-3165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162" Type="http://schemas.openxmlformats.org/officeDocument/2006/relationships/hyperlink" Target="javascript:link('dhs16_18218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29086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6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98','')" TargetMode="External"/><Relationship Id="rId136" Type="http://schemas.openxmlformats.org/officeDocument/2006/relationships/hyperlink" Target="javascript:link('dhs16_196615','')" TargetMode="External"/><Relationship Id="rId157" Type="http://schemas.openxmlformats.org/officeDocument/2006/relationships/hyperlink" Target="javascript:link('dhs16_182195','')" TargetMode="External"/><Relationship Id="rId61" Type="http://schemas.openxmlformats.org/officeDocument/2006/relationships/hyperlink" Target="javascript:link('DHS16_182196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-318461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MNDHS-073233','')" TargetMode="External"/><Relationship Id="rId35" Type="http://schemas.openxmlformats.org/officeDocument/2006/relationships/hyperlink" Target="javascript:link('DHS-318461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MNDHS-061577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9447','')" TargetMode="External"/><Relationship Id="rId147" Type="http://schemas.openxmlformats.org/officeDocument/2006/relationships/hyperlink" Target="javascript:link('DHS-317288','')" TargetMode="External"/><Relationship Id="rId168" Type="http://schemas.openxmlformats.org/officeDocument/2006/relationships/hyperlink" Target="javascript:link('DHS16_189447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16_182182','')" TargetMode="External"/><Relationship Id="rId142" Type="http://schemas.openxmlformats.org/officeDocument/2006/relationships/hyperlink" Target="javascript:link('DHS-317288','')" TargetMode="External"/><Relationship Id="rId163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95','')" TargetMode="External"/><Relationship Id="rId116" Type="http://schemas.openxmlformats.org/officeDocument/2006/relationships/hyperlink" Target="javascript:link('dhs16_182181','')" TargetMode="External"/><Relationship Id="rId137" Type="http://schemas.openxmlformats.org/officeDocument/2006/relationships/hyperlink" Target="javascript:link('DHS-317288','')" TargetMode="External"/><Relationship Id="rId158" Type="http://schemas.openxmlformats.org/officeDocument/2006/relationships/hyperlink" Target="javascript:link('dhs16_182182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16_18219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96','')" TargetMode="External"/><Relationship Id="rId153" Type="http://schemas.openxmlformats.org/officeDocument/2006/relationships/hyperlink" Target="javascript:link('DHS-318461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MNDHS-073233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327070','remote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9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MNDHS-061577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4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81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-317288','')" TargetMode="External"/><Relationship Id="rId164" Type="http://schemas.openxmlformats.org/officeDocument/2006/relationships/hyperlink" Target="javascript:link('DHS-317288','')" TargetMode="External"/><Relationship Id="rId169" Type="http://schemas.openxmlformats.org/officeDocument/2006/relationships/hyperlink" Target="javascript:link('DHS16_18219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MNDHS-073233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28793','')" TargetMode="External"/><Relationship Id="rId133" Type="http://schemas.openxmlformats.org/officeDocument/2006/relationships/hyperlink" Target="javascript:link('DHS16_182199','')" TargetMode="External"/><Relationship Id="rId154" Type="http://schemas.openxmlformats.org/officeDocument/2006/relationships/hyperlink" Target="javascript:link('DHS-317288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83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Relationship Id="rId165" Type="http://schemas.openxmlformats.org/officeDocument/2006/relationships/hyperlink" Target="javascript:link('DHS-317288','')" TargetMode="External"/><Relationship Id="rId27" Type="http://schemas.openxmlformats.org/officeDocument/2006/relationships/hyperlink" Target="javascript:link('DHS16_182185','')" TargetMode="External"/><Relationship Id="rId48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82','')" TargetMode="External"/><Relationship Id="rId134" Type="http://schemas.openxmlformats.org/officeDocument/2006/relationships/hyperlink" Target="javascript:link('dhs16_182178','')" TargetMode="External"/><Relationship Id="rId80" Type="http://schemas.openxmlformats.org/officeDocument/2006/relationships/hyperlink" Target="javascript:link('DHS-317288','')" TargetMode="External"/><Relationship Id="rId155" Type="http://schemas.openxmlformats.org/officeDocument/2006/relationships/hyperlink" Target="javascript:link('DHS16_196615','')" TargetMode="External"/><Relationship Id="rId17" Type="http://schemas.openxmlformats.org/officeDocument/2006/relationships/hyperlink" Target="javascript:link('dhs16_182183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27996','')" TargetMode="External"/><Relationship Id="rId103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2939</Words>
  <Characters>26028</Characters>
  <Application>Microsoft Office Word</Application>
  <DocSecurity>0</DocSecurity>
  <Lines>216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2026-02-09T19:37:00Z</dcterms:created>
  <dcterms:modified xsi:type="dcterms:W3CDTF">2026-02-09T19:37:00Z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